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F2D2" w14:textId="77777777" w:rsidR="00363656" w:rsidRPr="00363656" w:rsidRDefault="00363656">
      <w:pPr>
        <w:rPr>
          <w:rFonts w:ascii="Calibri" w:hAnsi="Calibri" w:cs="Calibri"/>
          <w:b/>
          <w:bCs/>
        </w:rPr>
      </w:pPr>
      <w:proofErr w:type="spellStart"/>
      <w:r w:rsidRPr="00363656">
        <w:rPr>
          <w:rFonts w:ascii="Calibri" w:hAnsi="Calibri" w:cs="Calibri"/>
          <w:b/>
          <w:bCs/>
        </w:rPr>
        <w:t>Lecture</w:t>
      </w:r>
      <w:proofErr w:type="spellEnd"/>
      <w:r w:rsidRPr="00363656">
        <w:rPr>
          <w:rFonts w:ascii="Calibri" w:hAnsi="Calibri" w:cs="Calibri"/>
          <w:b/>
          <w:bCs/>
        </w:rPr>
        <w:t xml:space="preserve"> 13</w:t>
      </w:r>
    </w:p>
    <w:p w14:paraId="0BBDCB8A" w14:textId="11AEA454" w:rsidR="000F1A2E" w:rsidRDefault="00363656">
      <w:pPr>
        <w:rPr>
          <w:rFonts w:ascii="Calibri" w:hAnsi="Calibri" w:cs="Calibri"/>
          <w:b/>
          <w:bCs/>
        </w:rPr>
      </w:pPr>
      <w:proofErr w:type="spellStart"/>
      <w:r w:rsidRPr="00363656">
        <w:rPr>
          <w:rFonts w:ascii="Calibri" w:hAnsi="Calibri" w:cs="Calibri"/>
          <w:b/>
          <w:bCs/>
        </w:rPr>
        <w:t>Bone</w:t>
      </w:r>
      <w:proofErr w:type="spellEnd"/>
      <w:r w:rsidRPr="00363656">
        <w:rPr>
          <w:rFonts w:ascii="Calibri" w:hAnsi="Calibri" w:cs="Calibri"/>
          <w:b/>
          <w:bCs/>
        </w:rPr>
        <w:t xml:space="preserve"> </w:t>
      </w:r>
      <w:proofErr w:type="spellStart"/>
      <w:r w:rsidRPr="00363656">
        <w:rPr>
          <w:rFonts w:ascii="Calibri" w:hAnsi="Calibri" w:cs="Calibri"/>
          <w:b/>
          <w:bCs/>
        </w:rPr>
        <w:t>tissues</w:t>
      </w:r>
      <w:proofErr w:type="spellEnd"/>
      <w:r w:rsidRPr="00363656">
        <w:rPr>
          <w:rFonts w:ascii="Calibri" w:hAnsi="Calibri" w:cs="Calibri"/>
          <w:b/>
          <w:bCs/>
        </w:rPr>
        <w:t xml:space="preserve">. </w:t>
      </w:r>
      <w:proofErr w:type="spellStart"/>
      <w:r w:rsidRPr="00363656">
        <w:rPr>
          <w:rFonts w:ascii="Calibri" w:hAnsi="Calibri" w:cs="Calibri"/>
          <w:b/>
          <w:bCs/>
        </w:rPr>
        <w:t>Osteohistogenesis</w:t>
      </w:r>
      <w:proofErr w:type="spellEnd"/>
      <w:r w:rsidRPr="00363656">
        <w:rPr>
          <w:rFonts w:ascii="Calibri" w:hAnsi="Calibri" w:cs="Calibri"/>
          <w:b/>
          <w:bCs/>
        </w:rPr>
        <w:t xml:space="preserve">. </w:t>
      </w:r>
      <w:proofErr w:type="spellStart"/>
      <w:r w:rsidRPr="00363656">
        <w:rPr>
          <w:rFonts w:ascii="Calibri" w:hAnsi="Calibri" w:cs="Calibri"/>
          <w:b/>
          <w:bCs/>
        </w:rPr>
        <w:t>Histological</w:t>
      </w:r>
      <w:proofErr w:type="spellEnd"/>
      <w:r w:rsidRPr="00363656">
        <w:rPr>
          <w:rFonts w:ascii="Calibri" w:hAnsi="Calibri" w:cs="Calibri"/>
          <w:b/>
          <w:bCs/>
        </w:rPr>
        <w:t xml:space="preserve"> </w:t>
      </w:r>
      <w:proofErr w:type="spellStart"/>
      <w:r w:rsidRPr="00363656">
        <w:rPr>
          <w:rFonts w:ascii="Calibri" w:hAnsi="Calibri" w:cs="Calibri"/>
          <w:b/>
          <w:bCs/>
        </w:rPr>
        <w:t>structure</w:t>
      </w:r>
      <w:proofErr w:type="spellEnd"/>
      <w:r w:rsidRPr="00363656">
        <w:rPr>
          <w:rFonts w:ascii="Calibri" w:hAnsi="Calibri" w:cs="Calibri"/>
          <w:b/>
          <w:bCs/>
        </w:rPr>
        <w:t xml:space="preserve"> </w:t>
      </w:r>
      <w:proofErr w:type="spellStart"/>
      <w:r w:rsidRPr="00363656">
        <w:rPr>
          <w:rFonts w:ascii="Calibri" w:hAnsi="Calibri" w:cs="Calibri"/>
          <w:b/>
          <w:bCs/>
        </w:rPr>
        <w:t>of</w:t>
      </w:r>
      <w:proofErr w:type="spellEnd"/>
      <w:r w:rsidRPr="00363656">
        <w:rPr>
          <w:rFonts w:ascii="Calibri" w:hAnsi="Calibri" w:cs="Calibri"/>
          <w:b/>
          <w:bCs/>
        </w:rPr>
        <w:t xml:space="preserve"> </w:t>
      </w:r>
      <w:proofErr w:type="spellStart"/>
      <w:r w:rsidRPr="00363656">
        <w:rPr>
          <w:rFonts w:ascii="Calibri" w:hAnsi="Calibri" w:cs="Calibri"/>
          <w:b/>
          <w:bCs/>
        </w:rPr>
        <w:t>tubular</w:t>
      </w:r>
      <w:proofErr w:type="spellEnd"/>
      <w:r w:rsidRPr="00363656">
        <w:rPr>
          <w:rFonts w:ascii="Calibri" w:hAnsi="Calibri" w:cs="Calibri"/>
          <w:b/>
          <w:bCs/>
        </w:rPr>
        <w:t xml:space="preserve"> </w:t>
      </w:r>
      <w:proofErr w:type="spellStart"/>
      <w:r w:rsidRPr="00363656">
        <w:rPr>
          <w:rFonts w:ascii="Calibri" w:hAnsi="Calibri" w:cs="Calibri"/>
          <w:b/>
          <w:bCs/>
        </w:rPr>
        <w:t>bone</w:t>
      </w:r>
      <w:proofErr w:type="spellEnd"/>
    </w:p>
    <w:p w14:paraId="1F363CF7" w14:textId="77777777" w:rsidR="00363656" w:rsidRPr="00363656" w:rsidRDefault="00363656">
      <w:pPr>
        <w:rPr>
          <w:rFonts w:ascii="Calibri" w:hAnsi="Calibri" w:cs="Calibri"/>
        </w:rPr>
      </w:pPr>
    </w:p>
    <w:p w14:paraId="12BD4FF0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Introduction</w:t>
      </w:r>
      <w:proofErr w:type="spellEnd"/>
    </w:p>
    <w:p w14:paraId="03B0660F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also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known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osseous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specialized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connective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provides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support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protection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internal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organs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plays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vital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role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mineral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storage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hematopoiesis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dynamic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undergoes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continuous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remodeling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throughout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life</w:t>
      </w:r>
      <w:proofErr w:type="spellEnd"/>
      <w:r w:rsidRPr="00363656">
        <w:rPr>
          <w:rFonts w:ascii="Calibri" w:hAnsi="Calibri" w:cs="Calibri"/>
        </w:rPr>
        <w:t xml:space="preserve">. In </w:t>
      </w:r>
      <w:proofErr w:type="spellStart"/>
      <w:r w:rsidRPr="00363656">
        <w:rPr>
          <w:rFonts w:ascii="Calibri" w:hAnsi="Calibri" w:cs="Calibri"/>
        </w:rPr>
        <w:t>this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lecture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will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explore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composition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process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osteohistogenesis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 xml:space="preserve">),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detailed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histological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tubular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>.</w:t>
      </w:r>
    </w:p>
    <w:p w14:paraId="214805F3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pict w14:anchorId="44E5330B">
          <v:rect id="_x0000_i1152" style="width:0;height:1.5pt" o:hralign="center" o:hrstd="t" o:hr="t" fillcolor="#a0a0a0" stroked="f"/>
        </w:pict>
      </w:r>
    </w:p>
    <w:p w14:paraId="6318ED1A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1.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Composition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Types</w:t>
      </w:r>
      <w:proofErr w:type="spellEnd"/>
    </w:p>
    <w:p w14:paraId="4E4CF6A1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consists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two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components</w:t>
      </w:r>
      <w:proofErr w:type="spellEnd"/>
      <w:r w:rsidRPr="00363656">
        <w:rPr>
          <w:rFonts w:ascii="Calibri" w:hAnsi="Calibri" w:cs="Calibri"/>
        </w:rPr>
        <w:t>:</w:t>
      </w:r>
    </w:p>
    <w:p w14:paraId="799E65D0" w14:textId="77777777" w:rsidR="00363656" w:rsidRPr="00363656" w:rsidRDefault="00363656" w:rsidP="00363656">
      <w:pPr>
        <w:numPr>
          <w:ilvl w:val="0"/>
          <w:numId w:val="13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Cells</w:t>
      </w:r>
      <w:proofErr w:type="spellEnd"/>
      <w:r w:rsidRPr="00363656">
        <w:rPr>
          <w:rFonts w:ascii="Calibri" w:hAnsi="Calibri" w:cs="Calibri"/>
        </w:rPr>
        <w:t xml:space="preserve">: The </w:t>
      </w:r>
      <w:proofErr w:type="spellStart"/>
      <w:r w:rsidRPr="00363656">
        <w:rPr>
          <w:rFonts w:ascii="Calibri" w:hAnsi="Calibri" w:cs="Calibri"/>
        </w:rPr>
        <w:t>primary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cells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include</w:t>
      </w:r>
      <w:proofErr w:type="spellEnd"/>
      <w:r w:rsidRPr="00363656">
        <w:rPr>
          <w:rFonts w:ascii="Calibri" w:hAnsi="Calibri" w:cs="Calibri"/>
        </w:rPr>
        <w:t>:</w:t>
      </w:r>
    </w:p>
    <w:p w14:paraId="4CB4C8E9" w14:textId="77777777" w:rsidR="00363656" w:rsidRPr="00363656" w:rsidRDefault="00363656" w:rsidP="00363656">
      <w:pPr>
        <w:numPr>
          <w:ilvl w:val="1"/>
          <w:numId w:val="13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Cells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responsible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They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secrete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promote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mineralization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>.</w:t>
      </w:r>
    </w:p>
    <w:p w14:paraId="4E8C5F4C" w14:textId="77777777" w:rsidR="00363656" w:rsidRPr="00363656" w:rsidRDefault="00363656" w:rsidP="00363656">
      <w:pPr>
        <w:numPr>
          <w:ilvl w:val="1"/>
          <w:numId w:val="13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Osteocytes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Mature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cells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derived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from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They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maintain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reside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small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cavities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called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lacunae</w:t>
      </w:r>
      <w:proofErr w:type="spellEnd"/>
      <w:r w:rsidRPr="00363656">
        <w:rPr>
          <w:rFonts w:ascii="Calibri" w:hAnsi="Calibri" w:cs="Calibri"/>
        </w:rPr>
        <w:t>.</w:t>
      </w:r>
    </w:p>
    <w:p w14:paraId="7A30B97A" w14:textId="77777777" w:rsidR="00363656" w:rsidRPr="00363656" w:rsidRDefault="00363656" w:rsidP="00363656">
      <w:pPr>
        <w:numPr>
          <w:ilvl w:val="1"/>
          <w:numId w:val="13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Osteoclasts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Large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multinucleated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cells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break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down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during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remodeling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Osteoclasts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play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crucial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role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resorption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regulation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calcium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phosphate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levels</w:t>
      </w:r>
      <w:proofErr w:type="spellEnd"/>
      <w:r w:rsidRPr="00363656">
        <w:rPr>
          <w:rFonts w:ascii="Calibri" w:hAnsi="Calibri" w:cs="Calibri"/>
        </w:rPr>
        <w:t>.</w:t>
      </w:r>
    </w:p>
    <w:p w14:paraId="3A48797A" w14:textId="77777777" w:rsidR="00363656" w:rsidRPr="00363656" w:rsidRDefault="00363656" w:rsidP="00363656">
      <w:pPr>
        <w:numPr>
          <w:ilvl w:val="0"/>
          <w:numId w:val="13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Extracellular</w:t>
      </w:r>
      <w:proofErr w:type="spellEnd"/>
      <w:r w:rsidRPr="00363656">
        <w:rPr>
          <w:rFonts w:ascii="Calibri" w:hAnsi="Calibri" w:cs="Calibri"/>
        </w:rPr>
        <w:t xml:space="preserve"> Matrix (ECM): The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consists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>:</w:t>
      </w:r>
    </w:p>
    <w:p w14:paraId="0969166A" w14:textId="77777777" w:rsidR="00363656" w:rsidRPr="00363656" w:rsidRDefault="00363656" w:rsidP="00363656">
      <w:pPr>
        <w:numPr>
          <w:ilvl w:val="1"/>
          <w:numId w:val="13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Organic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Component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Primarily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composed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collagen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fibers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type</w:t>
      </w:r>
      <w:proofErr w:type="spellEnd"/>
      <w:r w:rsidRPr="00363656">
        <w:rPr>
          <w:rFonts w:ascii="Calibri" w:hAnsi="Calibri" w:cs="Calibri"/>
        </w:rPr>
        <w:t xml:space="preserve"> I)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other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proteins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provide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flexibility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tensile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strength</w:t>
      </w:r>
      <w:proofErr w:type="spellEnd"/>
      <w:r w:rsidRPr="00363656">
        <w:rPr>
          <w:rFonts w:ascii="Calibri" w:hAnsi="Calibri" w:cs="Calibri"/>
        </w:rPr>
        <w:t>.</w:t>
      </w:r>
    </w:p>
    <w:p w14:paraId="1F8D92DD" w14:textId="77777777" w:rsidR="00363656" w:rsidRPr="00363656" w:rsidRDefault="00363656" w:rsidP="00363656">
      <w:pPr>
        <w:numPr>
          <w:ilvl w:val="1"/>
          <w:numId w:val="13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Inorganic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Component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Composed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mainly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hydroxyapatite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crystals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calcium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phosphate</w:t>
      </w:r>
      <w:proofErr w:type="spellEnd"/>
      <w:r w:rsidRPr="00363656">
        <w:rPr>
          <w:rFonts w:ascii="Calibri" w:hAnsi="Calibri" w:cs="Calibri"/>
        </w:rPr>
        <w:t xml:space="preserve">), </w:t>
      </w:r>
      <w:proofErr w:type="spellStart"/>
      <w:r w:rsidRPr="00363656">
        <w:rPr>
          <w:rFonts w:ascii="Calibri" w:hAnsi="Calibri" w:cs="Calibri"/>
        </w:rPr>
        <w:t>which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give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hardness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strength</w:t>
      </w:r>
      <w:proofErr w:type="spellEnd"/>
      <w:r w:rsidRPr="00363656">
        <w:rPr>
          <w:rFonts w:ascii="Calibri" w:hAnsi="Calibri" w:cs="Calibri"/>
        </w:rPr>
        <w:t>.</w:t>
      </w:r>
    </w:p>
    <w:p w14:paraId="1547DE29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classified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two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types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based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density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arrangement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>:</w:t>
      </w:r>
    </w:p>
    <w:p w14:paraId="01229561" w14:textId="77777777" w:rsidR="00363656" w:rsidRPr="00363656" w:rsidRDefault="00363656" w:rsidP="00363656">
      <w:pPr>
        <w:numPr>
          <w:ilvl w:val="0"/>
          <w:numId w:val="14"/>
        </w:num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Compact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Cortical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): </w:t>
      </w:r>
      <w:proofErr w:type="spellStart"/>
      <w:r w:rsidRPr="00363656">
        <w:rPr>
          <w:rFonts w:ascii="Calibri" w:hAnsi="Calibri" w:cs="Calibri"/>
        </w:rPr>
        <w:t>Dense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solid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compact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outer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layer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provides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strength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weight-bearing</w:t>
      </w:r>
      <w:proofErr w:type="spellEnd"/>
      <w:r w:rsidRPr="00363656">
        <w:rPr>
          <w:rFonts w:ascii="Calibri" w:hAnsi="Calibri" w:cs="Calibri"/>
        </w:rPr>
        <w:t>.</w:t>
      </w:r>
    </w:p>
    <w:p w14:paraId="26C94C7B" w14:textId="77777777" w:rsidR="00363656" w:rsidRPr="00363656" w:rsidRDefault="00363656" w:rsidP="00363656">
      <w:pPr>
        <w:numPr>
          <w:ilvl w:val="0"/>
          <w:numId w:val="14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Cancellous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Trabecular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): </w:t>
      </w:r>
      <w:proofErr w:type="spellStart"/>
      <w:r w:rsidRPr="00363656">
        <w:rPr>
          <w:rFonts w:ascii="Calibri" w:hAnsi="Calibri" w:cs="Calibri"/>
        </w:rPr>
        <w:t>Found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inside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consists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network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trabeculae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which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provide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support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while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reducing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weight</w:t>
      </w:r>
      <w:proofErr w:type="spellEnd"/>
      <w:r w:rsidRPr="00363656">
        <w:rPr>
          <w:rFonts w:ascii="Calibri" w:hAnsi="Calibri" w:cs="Calibri"/>
        </w:rPr>
        <w:t>.</w:t>
      </w:r>
    </w:p>
    <w:p w14:paraId="1387E4E7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pict w14:anchorId="27E4179F">
          <v:rect id="_x0000_i1153" style="width:0;height:1.5pt" o:hralign="center" o:hrstd="t" o:hr="t" fillcolor="#a0a0a0" stroked="f"/>
        </w:pict>
      </w:r>
    </w:p>
    <w:p w14:paraId="5F652534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2. </w:t>
      </w:r>
      <w:proofErr w:type="spellStart"/>
      <w:r w:rsidRPr="00363656">
        <w:rPr>
          <w:rFonts w:ascii="Calibri" w:hAnsi="Calibri" w:cs="Calibri"/>
        </w:rPr>
        <w:t>Osteohistogenesis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Development</w:t>
      </w:r>
    </w:p>
    <w:p w14:paraId="465135B0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lastRenderedPageBreak/>
        <w:t>Osteohistogenesis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refers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process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which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occurs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through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two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primary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mechanisms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intramembranous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ossification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endochondral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ossification</w:t>
      </w:r>
      <w:proofErr w:type="spellEnd"/>
      <w:r w:rsidRPr="00363656">
        <w:rPr>
          <w:rFonts w:ascii="Calibri" w:hAnsi="Calibri" w:cs="Calibri"/>
        </w:rPr>
        <w:t>.</w:t>
      </w:r>
    </w:p>
    <w:p w14:paraId="34857169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A. </w:t>
      </w:r>
      <w:proofErr w:type="spellStart"/>
      <w:r w:rsidRPr="00363656">
        <w:rPr>
          <w:rFonts w:ascii="Calibri" w:hAnsi="Calibri" w:cs="Calibri"/>
        </w:rPr>
        <w:t>Intramembranous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Ossification</w:t>
      </w:r>
      <w:proofErr w:type="spellEnd"/>
    </w:p>
    <w:p w14:paraId="7E5CA621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This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type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occurs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directly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from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mesenchymal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undifferentiated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connective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)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responsible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flat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such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skull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clavicles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parts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mandible</w:t>
      </w:r>
      <w:proofErr w:type="spellEnd"/>
      <w:r w:rsidRPr="00363656">
        <w:rPr>
          <w:rFonts w:ascii="Calibri" w:hAnsi="Calibri" w:cs="Calibri"/>
        </w:rPr>
        <w:t>.</w:t>
      </w:r>
    </w:p>
    <w:p w14:paraId="435E29CA" w14:textId="77777777" w:rsidR="00363656" w:rsidRPr="00363656" w:rsidRDefault="00363656" w:rsidP="00363656">
      <w:pPr>
        <w:numPr>
          <w:ilvl w:val="0"/>
          <w:numId w:val="15"/>
        </w:numPr>
        <w:rPr>
          <w:rFonts w:ascii="Calibri" w:hAnsi="Calibri" w:cs="Calibri"/>
        </w:rPr>
      </w:pPr>
      <w:r w:rsidRPr="00363656">
        <w:rPr>
          <w:rFonts w:ascii="Calibri" w:hAnsi="Calibri" w:cs="Calibri"/>
        </w:rPr>
        <w:t>Process:</w:t>
      </w:r>
    </w:p>
    <w:p w14:paraId="0E75F025" w14:textId="77777777" w:rsidR="00363656" w:rsidRPr="00363656" w:rsidRDefault="00363656" w:rsidP="00363656">
      <w:pPr>
        <w:numPr>
          <w:ilvl w:val="1"/>
          <w:numId w:val="15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Mesenchymal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cells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differentiate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within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fibrous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membrane</w:t>
      </w:r>
      <w:proofErr w:type="spellEnd"/>
      <w:r w:rsidRPr="00363656">
        <w:rPr>
          <w:rFonts w:ascii="Calibri" w:hAnsi="Calibri" w:cs="Calibri"/>
        </w:rPr>
        <w:t>.</w:t>
      </w:r>
    </w:p>
    <w:p w14:paraId="5D8A7309" w14:textId="77777777" w:rsidR="00363656" w:rsidRPr="00363656" w:rsidRDefault="00363656" w:rsidP="00363656">
      <w:pPr>
        <w:numPr>
          <w:ilvl w:val="1"/>
          <w:numId w:val="15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begin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secrete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osteoid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unmineralized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 xml:space="preserve">), </w:t>
      </w:r>
      <w:proofErr w:type="spellStart"/>
      <w:r w:rsidRPr="00363656">
        <w:rPr>
          <w:rFonts w:ascii="Calibri" w:hAnsi="Calibri" w:cs="Calibri"/>
        </w:rPr>
        <w:t>which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calcifies</w:t>
      </w:r>
      <w:proofErr w:type="spellEnd"/>
      <w:r w:rsidRPr="00363656">
        <w:rPr>
          <w:rFonts w:ascii="Calibri" w:hAnsi="Calibri" w:cs="Calibri"/>
        </w:rPr>
        <w:t>.</w:t>
      </w:r>
    </w:p>
    <w:p w14:paraId="236C17EF" w14:textId="77777777" w:rsidR="00363656" w:rsidRPr="00363656" w:rsidRDefault="00363656" w:rsidP="00363656">
      <w:pPr>
        <w:numPr>
          <w:ilvl w:val="1"/>
          <w:numId w:val="15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become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trapped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differentiate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osteocytes</w:t>
      </w:r>
      <w:proofErr w:type="spellEnd"/>
      <w:r w:rsidRPr="00363656">
        <w:rPr>
          <w:rFonts w:ascii="Calibri" w:hAnsi="Calibri" w:cs="Calibri"/>
        </w:rPr>
        <w:t>.</w:t>
      </w:r>
    </w:p>
    <w:p w14:paraId="04DEE260" w14:textId="77777777" w:rsidR="00363656" w:rsidRPr="00363656" w:rsidRDefault="00363656" w:rsidP="00363656">
      <w:pPr>
        <w:numPr>
          <w:ilvl w:val="1"/>
          <w:numId w:val="15"/>
        </w:num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As </w:t>
      </w:r>
      <w:proofErr w:type="spellStart"/>
      <w:r w:rsidRPr="00363656">
        <w:rPr>
          <w:rFonts w:ascii="Calibri" w:hAnsi="Calibri" w:cs="Calibri"/>
        </w:rPr>
        <w:t>more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osteoid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secreted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mineralized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expands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forming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trabeculae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small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supporting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>).</w:t>
      </w:r>
    </w:p>
    <w:p w14:paraId="759F3957" w14:textId="77777777" w:rsidR="00363656" w:rsidRPr="00363656" w:rsidRDefault="00363656" w:rsidP="00363656">
      <w:pPr>
        <w:numPr>
          <w:ilvl w:val="1"/>
          <w:numId w:val="15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Trabeculae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thicken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combine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which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later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remodeled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compact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>.</w:t>
      </w:r>
    </w:p>
    <w:p w14:paraId="7867AED8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B. </w:t>
      </w:r>
      <w:proofErr w:type="spellStart"/>
      <w:r w:rsidRPr="00363656">
        <w:rPr>
          <w:rFonts w:ascii="Calibri" w:hAnsi="Calibri" w:cs="Calibri"/>
        </w:rPr>
        <w:t>Endochondral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Ossification</w:t>
      </w:r>
      <w:proofErr w:type="spellEnd"/>
    </w:p>
    <w:p w14:paraId="3CAB9891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Endochondral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ossification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involves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from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cartilage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model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This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process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responsible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development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long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such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femur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humerus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tibia</w:t>
      </w:r>
      <w:proofErr w:type="spellEnd"/>
      <w:r w:rsidRPr="00363656">
        <w:rPr>
          <w:rFonts w:ascii="Calibri" w:hAnsi="Calibri" w:cs="Calibri"/>
        </w:rPr>
        <w:t>.</w:t>
      </w:r>
    </w:p>
    <w:p w14:paraId="1E08D582" w14:textId="77777777" w:rsidR="00363656" w:rsidRPr="00363656" w:rsidRDefault="00363656" w:rsidP="00363656">
      <w:pPr>
        <w:numPr>
          <w:ilvl w:val="0"/>
          <w:numId w:val="16"/>
        </w:numPr>
        <w:rPr>
          <w:rFonts w:ascii="Calibri" w:hAnsi="Calibri" w:cs="Calibri"/>
        </w:rPr>
      </w:pPr>
      <w:r w:rsidRPr="00363656">
        <w:rPr>
          <w:rFonts w:ascii="Calibri" w:hAnsi="Calibri" w:cs="Calibri"/>
        </w:rPr>
        <w:t>Process:</w:t>
      </w:r>
    </w:p>
    <w:p w14:paraId="53F3A61B" w14:textId="77777777" w:rsidR="00363656" w:rsidRPr="00363656" w:rsidRDefault="00363656" w:rsidP="00363656">
      <w:pPr>
        <w:numPr>
          <w:ilvl w:val="1"/>
          <w:numId w:val="16"/>
        </w:num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A </w:t>
      </w:r>
      <w:proofErr w:type="spellStart"/>
      <w:r w:rsidRPr="00363656">
        <w:rPr>
          <w:rFonts w:ascii="Calibri" w:hAnsi="Calibri" w:cs="Calibri"/>
        </w:rPr>
        <w:t>hyaline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cartilage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model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during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fetal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development</w:t>
      </w:r>
      <w:proofErr w:type="spellEnd"/>
      <w:r w:rsidRPr="00363656">
        <w:rPr>
          <w:rFonts w:ascii="Calibri" w:hAnsi="Calibri" w:cs="Calibri"/>
        </w:rPr>
        <w:t>.</w:t>
      </w:r>
    </w:p>
    <w:p w14:paraId="45383765" w14:textId="77777777" w:rsidR="00363656" w:rsidRPr="00363656" w:rsidRDefault="00363656" w:rsidP="00363656">
      <w:pPr>
        <w:numPr>
          <w:ilvl w:val="1"/>
          <w:numId w:val="16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Cartilage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cells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chondrocytes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begin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enlarge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calcify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leading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collar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around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diaphysis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shaft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>).</w:t>
      </w:r>
    </w:p>
    <w:p w14:paraId="18B1F283" w14:textId="77777777" w:rsidR="00363656" w:rsidRPr="00363656" w:rsidRDefault="00363656" w:rsidP="00363656">
      <w:pPr>
        <w:numPr>
          <w:ilvl w:val="1"/>
          <w:numId w:val="16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Blood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vessels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invade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cartilage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bringing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replace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calcified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cartilage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with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>.</w:t>
      </w:r>
    </w:p>
    <w:p w14:paraId="7DB156BD" w14:textId="77777777" w:rsidR="00363656" w:rsidRPr="00363656" w:rsidRDefault="00363656" w:rsidP="00363656">
      <w:pPr>
        <w:numPr>
          <w:ilvl w:val="1"/>
          <w:numId w:val="16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begin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producing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primary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ossification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center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within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diaphysis</w:t>
      </w:r>
      <w:proofErr w:type="spellEnd"/>
      <w:r w:rsidRPr="00363656">
        <w:rPr>
          <w:rFonts w:ascii="Calibri" w:hAnsi="Calibri" w:cs="Calibri"/>
        </w:rPr>
        <w:t>.</w:t>
      </w:r>
    </w:p>
    <w:p w14:paraId="175997FC" w14:textId="77777777" w:rsidR="00363656" w:rsidRPr="00363656" w:rsidRDefault="00363656" w:rsidP="00363656">
      <w:pPr>
        <w:numPr>
          <w:ilvl w:val="1"/>
          <w:numId w:val="16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Secondary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ossification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centers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epiphyses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ends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) </w:t>
      </w:r>
      <w:proofErr w:type="spellStart"/>
      <w:r w:rsidRPr="00363656">
        <w:rPr>
          <w:rFonts w:ascii="Calibri" w:hAnsi="Calibri" w:cs="Calibri"/>
        </w:rPr>
        <w:t>after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birth</w:t>
      </w:r>
      <w:proofErr w:type="spellEnd"/>
      <w:r w:rsidRPr="00363656">
        <w:rPr>
          <w:rFonts w:ascii="Calibri" w:hAnsi="Calibri" w:cs="Calibri"/>
        </w:rPr>
        <w:t>.</w:t>
      </w:r>
    </w:p>
    <w:p w14:paraId="632853D2" w14:textId="77777777" w:rsidR="00363656" w:rsidRPr="00363656" w:rsidRDefault="00363656" w:rsidP="00363656">
      <w:pPr>
        <w:numPr>
          <w:ilvl w:val="1"/>
          <w:numId w:val="16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Epiphyseal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plates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growth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plates</w:t>
      </w:r>
      <w:proofErr w:type="spellEnd"/>
      <w:r w:rsidRPr="00363656">
        <w:rPr>
          <w:rFonts w:ascii="Calibri" w:hAnsi="Calibri" w:cs="Calibri"/>
        </w:rPr>
        <w:t xml:space="preserve">) </w:t>
      </w:r>
      <w:proofErr w:type="spellStart"/>
      <w:r w:rsidRPr="00363656">
        <w:rPr>
          <w:rFonts w:ascii="Calibri" w:hAnsi="Calibri" w:cs="Calibri"/>
        </w:rPr>
        <w:t>remain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between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diaphysis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epiphyses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allowing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continued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growth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during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childhood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Once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growth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plates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close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growth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stops</w:t>
      </w:r>
      <w:proofErr w:type="spellEnd"/>
      <w:r w:rsidRPr="00363656">
        <w:rPr>
          <w:rFonts w:ascii="Calibri" w:hAnsi="Calibri" w:cs="Calibri"/>
        </w:rPr>
        <w:t>.</w:t>
      </w:r>
    </w:p>
    <w:p w14:paraId="1D247EC0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Endochondral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ossification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allows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elongation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during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growth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process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vital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development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most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body</w:t>
      </w:r>
      <w:proofErr w:type="spellEnd"/>
      <w:r w:rsidRPr="00363656">
        <w:rPr>
          <w:rFonts w:ascii="Calibri" w:hAnsi="Calibri" w:cs="Calibri"/>
        </w:rPr>
        <w:t>.</w:t>
      </w:r>
    </w:p>
    <w:p w14:paraId="1C1F4EF7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pict w14:anchorId="746AF471">
          <v:rect id="_x0000_i1154" style="width:0;height:1.5pt" o:hralign="center" o:hrstd="t" o:hr="t" fillcolor="#a0a0a0" stroked="f"/>
        </w:pict>
      </w:r>
    </w:p>
    <w:p w14:paraId="78250A95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lastRenderedPageBreak/>
        <w:t xml:space="preserve">3. </w:t>
      </w:r>
      <w:proofErr w:type="spellStart"/>
      <w:r w:rsidRPr="00363656">
        <w:rPr>
          <w:rFonts w:ascii="Calibri" w:hAnsi="Calibri" w:cs="Calibri"/>
        </w:rPr>
        <w:t>Histological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Tubular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</w:p>
    <w:p w14:paraId="4013E074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Tubular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also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known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long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) </w:t>
      </w:r>
      <w:proofErr w:type="spellStart"/>
      <w:r w:rsidRPr="00363656">
        <w:rPr>
          <w:rFonts w:ascii="Calibri" w:hAnsi="Calibri" w:cs="Calibri"/>
        </w:rPr>
        <w:t>are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characterized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their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elongated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shape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consist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several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regions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provide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strength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flexibility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functionality</w:t>
      </w:r>
      <w:proofErr w:type="spellEnd"/>
      <w:r w:rsidRPr="00363656">
        <w:rPr>
          <w:rFonts w:ascii="Calibri" w:hAnsi="Calibri" w:cs="Calibri"/>
        </w:rPr>
        <w:t>.</w:t>
      </w:r>
    </w:p>
    <w:p w14:paraId="55969263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A. </w:t>
      </w:r>
      <w:proofErr w:type="spellStart"/>
      <w:r w:rsidRPr="00363656">
        <w:rPr>
          <w:rFonts w:ascii="Calibri" w:hAnsi="Calibri" w:cs="Calibri"/>
        </w:rPr>
        <w:t>Gross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Anatomy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Tubular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</w:p>
    <w:p w14:paraId="0C7ACE6A" w14:textId="77777777" w:rsidR="00363656" w:rsidRPr="00363656" w:rsidRDefault="00363656" w:rsidP="00363656">
      <w:pPr>
        <w:numPr>
          <w:ilvl w:val="0"/>
          <w:numId w:val="17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Diaphysis</w:t>
      </w:r>
      <w:proofErr w:type="spellEnd"/>
      <w:r w:rsidRPr="00363656">
        <w:rPr>
          <w:rFonts w:ascii="Calibri" w:hAnsi="Calibri" w:cs="Calibri"/>
        </w:rPr>
        <w:t xml:space="preserve">: The </w:t>
      </w:r>
      <w:proofErr w:type="spellStart"/>
      <w:r w:rsidRPr="00363656">
        <w:rPr>
          <w:rFonts w:ascii="Calibri" w:hAnsi="Calibri" w:cs="Calibri"/>
        </w:rPr>
        <w:t>long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central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shaft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primarily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composed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compact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. The </w:t>
      </w:r>
      <w:proofErr w:type="spellStart"/>
      <w:r w:rsidRPr="00363656">
        <w:rPr>
          <w:rFonts w:ascii="Calibri" w:hAnsi="Calibri" w:cs="Calibri"/>
        </w:rPr>
        <w:t>hollow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interior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diaphysis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contains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medullary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cavity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which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filled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with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marrow</w:t>
      </w:r>
      <w:proofErr w:type="spellEnd"/>
      <w:r w:rsidRPr="00363656">
        <w:rPr>
          <w:rFonts w:ascii="Calibri" w:hAnsi="Calibri" w:cs="Calibri"/>
        </w:rPr>
        <w:t>.</w:t>
      </w:r>
    </w:p>
    <w:p w14:paraId="5E4D61F1" w14:textId="77777777" w:rsidR="00363656" w:rsidRPr="00363656" w:rsidRDefault="00363656" w:rsidP="00363656">
      <w:pPr>
        <w:numPr>
          <w:ilvl w:val="0"/>
          <w:numId w:val="17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Epiphysis</w:t>
      </w:r>
      <w:proofErr w:type="spellEnd"/>
      <w:r w:rsidRPr="00363656">
        <w:rPr>
          <w:rFonts w:ascii="Calibri" w:hAnsi="Calibri" w:cs="Calibri"/>
        </w:rPr>
        <w:t xml:space="preserve">: The </w:t>
      </w:r>
      <w:proofErr w:type="spellStart"/>
      <w:r w:rsidRPr="00363656">
        <w:rPr>
          <w:rFonts w:ascii="Calibri" w:hAnsi="Calibri" w:cs="Calibri"/>
        </w:rPr>
        <w:t>rounded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ends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composed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surrounded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by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thin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layer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compact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. The </w:t>
      </w:r>
      <w:proofErr w:type="spellStart"/>
      <w:r w:rsidRPr="00363656">
        <w:rPr>
          <w:rFonts w:ascii="Calibri" w:hAnsi="Calibri" w:cs="Calibri"/>
        </w:rPr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within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epiphysis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houses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marrow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which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involved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hematopoiesis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blood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cell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>).</w:t>
      </w:r>
    </w:p>
    <w:p w14:paraId="59B3458C" w14:textId="77777777" w:rsidR="00363656" w:rsidRPr="00363656" w:rsidRDefault="00363656" w:rsidP="00363656">
      <w:pPr>
        <w:numPr>
          <w:ilvl w:val="0"/>
          <w:numId w:val="17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Metaphysis</w:t>
      </w:r>
      <w:proofErr w:type="spellEnd"/>
      <w:r w:rsidRPr="00363656">
        <w:rPr>
          <w:rFonts w:ascii="Calibri" w:hAnsi="Calibri" w:cs="Calibri"/>
        </w:rPr>
        <w:t xml:space="preserve">: The </w:t>
      </w:r>
      <w:proofErr w:type="spellStart"/>
      <w:r w:rsidRPr="00363656">
        <w:rPr>
          <w:rFonts w:ascii="Calibri" w:hAnsi="Calibri" w:cs="Calibri"/>
        </w:rPr>
        <w:t>region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between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diaphysis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epiphysis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which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contains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epiphyseal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growth</w:t>
      </w:r>
      <w:proofErr w:type="spellEnd"/>
      <w:r w:rsidRPr="00363656">
        <w:rPr>
          <w:rFonts w:ascii="Calibri" w:hAnsi="Calibri" w:cs="Calibri"/>
        </w:rPr>
        <w:t xml:space="preserve">) </w:t>
      </w:r>
      <w:proofErr w:type="spellStart"/>
      <w:r w:rsidRPr="00363656">
        <w:rPr>
          <w:rFonts w:ascii="Calibri" w:hAnsi="Calibri" w:cs="Calibri"/>
        </w:rPr>
        <w:t>plate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growing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After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growth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stops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epiphyseal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plate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replaced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epiphyseal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line</w:t>
      </w:r>
      <w:proofErr w:type="spellEnd"/>
      <w:r w:rsidRPr="00363656">
        <w:rPr>
          <w:rFonts w:ascii="Calibri" w:hAnsi="Calibri" w:cs="Calibri"/>
        </w:rPr>
        <w:t>.</w:t>
      </w:r>
    </w:p>
    <w:p w14:paraId="4D7FF462" w14:textId="77777777" w:rsidR="00363656" w:rsidRPr="00363656" w:rsidRDefault="00363656" w:rsidP="00363656">
      <w:pPr>
        <w:numPr>
          <w:ilvl w:val="0"/>
          <w:numId w:val="17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Periosteum</w:t>
      </w:r>
      <w:proofErr w:type="spellEnd"/>
      <w:r w:rsidRPr="00363656">
        <w:rPr>
          <w:rFonts w:ascii="Calibri" w:hAnsi="Calibri" w:cs="Calibri"/>
        </w:rPr>
        <w:t xml:space="preserve">: A </w:t>
      </w:r>
      <w:proofErr w:type="spellStart"/>
      <w:r w:rsidRPr="00363656">
        <w:rPr>
          <w:rFonts w:ascii="Calibri" w:hAnsi="Calibri" w:cs="Calibri"/>
        </w:rPr>
        <w:t>dense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fibrous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membrane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covers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outer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surface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. It </w:t>
      </w:r>
      <w:proofErr w:type="spellStart"/>
      <w:r w:rsidRPr="00363656">
        <w:rPr>
          <w:rFonts w:ascii="Calibri" w:hAnsi="Calibri" w:cs="Calibri"/>
        </w:rPr>
        <w:t>contains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growth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repair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provides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attachment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site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tendons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ligaments</w:t>
      </w:r>
      <w:proofErr w:type="spellEnd"/>
      <w:r w:rsidRPr="00363656">
        <w:rPr>
          <w:rFonts w:ascii="Calibri" w:hAnsi="Calibri" w:cs="Calibri"/>
        </w:rPr>
        <w:t>.</w:t>
      </w:r>
    </w:p>
    <w:p w14:paraId="40CF3C5A" w14:textId="77777777" w:rsidR="00363656" w:rsidRPr="00363656" w:rsidRDefault="00363656" w:rsidP="00363656">
      <w:pPr>
        <w:numPr>
          <w:ilvl w:val="0"/>
          <w:numId w:val="17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Endosteum</w:t>
      </w:r>
      <w:proofErr w:type="spellEnd"/>
      <w:r w:rsidRPr="00363656">
        <w:rPr>
          <w:rFonts w:ascii="Calibri" w:hAnsi="Calibri" w:cs="Calibri"/>
        </w:rPr>
        <w:t xml:space="preserve">: A </w:t>
      </w:r>
      <w:proofErr w:type="spellStart"/>
      <w:r w:rsidRPr="00363656">
        <w:rPr>
          <w:rFonts w:ascii="Calibri" w:hAnsi="Calibri" w:cs="Calibri"/>
        </w:rPr>
        <w:t>thin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layer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connective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lining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inner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surface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medullary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cavity</w:t>
      </w:r>
      <w:proofErr w:type="spellEnd"/>
      <w:r w:rsidRPr="00363656">
        <w:rPr>
          <w:rFonts w:ascii="Calibri" w:hAnsi="Calibri" w:cs="Calibri"/>
        </w:rPr>
        <w:t xml:space="preserve">. It </w:t>
      </w:r>
      <w:proofErr w:type="spellStart"/>
      <w:r w:rsidRPr="00363656">
        <w:rPr>
          <w:rFonts w:ascii="Calibri" w:hAnsi="Calibri" w:cs="Calibri"/>
        </w:rPr>
        <w:t>contains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osteoclasts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which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involved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remodeling</w:t>
      </w:r>
      <w:proofErr w:type="spellEnd"/>
      <w:r w:rsidRPr="00363656">
        <w:rPr>
          <w:rFonts w:ascii="Calibri" w:hAnsi="Calibri" w:cs="Calibri"/>
        </w:rPr>
        <w:t>.</w:t>
      </w:r>
    </w:p>
    <w:p w14:paraId="694B1FFC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B. </w:t>
      </w:r>
      <w:proofErr w:type="spellStart"/>
      <w:r w:rsidRPr="00363656">
        <w:rPr>
          <w:rFonts w:ascii="Calibri" w:hAnsi="Calibri" w:cs="Calibri"/>
        </w:rPr>
        <w:t>Histological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Compact </w:t>
      </w:r>
      <w:proofErr w:type="spellStart"/>
      <w:r w:rsidRPr="00363656">
        <w:rPr>
          <w:rFonts w:ascii="Calibri" w:hAnsi="Calibri" w:cs="Calibri"/>
        </w:rPr>
        <w:t>Bone</w:t>
      </w:r>
      <w:proofErr w:type="spellEnd"/>
    </w:p>
    <w:p w14:paraId="0216F7D8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Compact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highly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organized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consists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units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called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osteons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Haversian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systems</w:t>
      </w:r>
      <w:proofErr w:type="spellEnd"/>
      <w:r w:rsidRPr="00363656">
        <w:rPr>
          <w:rFonts w:ascii="Calibri" w:hAnsi="Calibri" w:cs="Calibri"/>
        </w:rPr>
        <w:t xml:space="preserve">). </w:t>
      </w:r>
      <w:proofErr w:type="spellStart"/>
      <w:r w:rsidRPr="00363656">
        <w:rPr>
          <w:rFonts w:ascii="Calibri" w:hAnsi="Calibri" w:cs="Calibri"/>
        </w:rPr>
        <w:t>Each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has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central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canal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surrounded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concentric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layers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known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lamellae</w:t>
      </w:r>
      <w:proofErr w:type="spellEnd"/>
      <w:r w:rsidRPr="00363656">
        <w:rPr>
          <w:rFonts w:ascii="Calibri" w:hAnsi="Calibri" w:cs="Calibri"/>
        </w:rPr>
        <w:t>.</w:t>
      </w:r>
    </w:p>
    <w:p w14:paraId="462EBF28" w14:textId="77777777" w:rsidR="00363656" w:rsidRPr="00363656" w:rsidRDefault="00363656" w:rsidP="00363656">
      <w:pPr>
        <w:numPr>
          <w:ilvl w:val="0"/>
          <w:numId w:val="18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Osteon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Structure</w:t>
      </w:r>
      <w:proofErr w:type="spellEnd"/>
      <w:r w:rsidRPr="00363656">
        <w:rPr>
          <w:rFonts w:ascii="Calibri" w:hAnsi="Calibri" w:cs="Calibri"/>
        </w:rPr>
        <w:t>:</w:t>
      </w:r>
    </w:p>
    <w:p w14:paraId="0A684963" w14:textId="77777777" w:rsidR="00363656" w:rsidRPr="00363656" w:rsidRDefault="00363656" w:rsidP="00363656">
      <w:pPr>
        <w:numPr>
          <w:ilvl w:val="1"/>
          <w:numId w:val="18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Haversian</w:t>
      </w:r>
      <w:proofErr w:type="spellEnd"/>
      <w:r w:rsidRPr="00363656">
        <w:rPr>
          <w:rFonts w:ascii="Calibri" w:hAnsi="Calibri" w:cs="Calibri"/>
        </w:rPr>
        <w:t xml:space="preserve"> Canal: The </w:t>
      </w:r>
      <w:proofErr w:type="spellStart"/>
      <w:r w:rsidRPr="00363656">
        <w:rPr>
          <w:rFonts w:ascii="Calibri" w:hAnsi="Calibri" w:cs="Calibri"/>
        </w:rPr>
        <w:t>central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canal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each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contains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blood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vessels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nerves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providing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nourishment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communication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within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>.</w:t>
      </w:r>
    </w:p>
    <w:p w14:paraId="5DD41C00" w14:textId="77777777" w:rsidR="00363656" w:rsidRPr="00363656" w:rsidRDefault="00363656" w:rsidP="00363656">
      <w:pPr>
        <w:numPr>
          <w:ilvl w:val="1"/>
          <w:numId w:val="18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Lamellae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Concentric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rings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calcified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surrounding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Haversian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canal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Collagen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fibers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each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lamella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run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opposite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directions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provide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strength</w:t>
      </w:r>
      <w:proofErr w:type="spellEnd"/>
      <w:r w:rsidRPr="00363656">
        <w:rPr>
          <w:rFonts w:ascii="Calibri" w:hAnsi="Calibri" w:cs="Calibri"/>
        </w:rPr>
        <w:t>.</w:t>
      </w:r>
    </w:p>
    <w:p w14:paraId="2D431F51" w14:textId="77777777" w:rsidR="00363656" w:rsidRPr="00363656" w:rsidRDefault="00363656" w:rsidP="00363656">
      <w:pPr>
        <w:numPr>
          <w:ilvl w:val="1"/>
          <w:numId w:val="18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Lacunae</w:t>
      </w:r>
      <w:proofErr w:type="spellEnd"/>
      <w:r w:rsidRPr="00363656">
        <w:rPr>
          <w:rFonts w:ascii="Calibri" w:hAnsi="Calibri" w:cs="Calibri"/>
        </w:rPr>
        <w:t xml:space="preserve">: Small </w:t>
      </w:r>
      <w:proofErr w:type="spellStart"/>
      <w:r w:rsidRPr="00363656">
        <w:rPr>
          <w:rFonts w:ascii="Calibri" w:hAnsi="Calibri" w:cs="Calibri"/>
        </w:rPr>
        <w:t>cavities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between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lamellae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contain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osteocytes</w:t>
      </w:r>
      <w:proofErr w:type="spellEnd"/>
      <w:r w:rsidRPr="00363656">
        <w:rPr>
          <w:rFonts w:ascii="Calibri" w:hAnsi="Calibri" w:cs="Calibri"/>
        </w:rPr>
        <w:t xml:space="preserve">. The </w:t>
      </w:r>
      <w:proofErr w:type="spellStart"/>
      <w:r w:rsidRPr="00363656">
        <w:rPr>
          <w:rFonts w:ascii="Calibri" w:hAnsi="Calibri" w:cs="Calibri"/>
        </w:rPr>
        <w:t>osteocytes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maintain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communicate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with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another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via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canaliculi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tiny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channels</w:t>
      </w:r>
      <w:proofErr w:type="spellEnd"/>
      <w:r w:rsidRPr="00363656">
        <w:rPr>
          <w:rFonts w:ascii="Calibri" w:hAnsi="Calibri" w:cs="Calibri"/>
        </w:rPr>
        <w:t>).</w:t>
      </w:r>
    </w:p>
    <w:p w14:paraId="03152ED0" w14:textId="77777777" w:rsidR="00363656" w:rsidRPr="00363656" w:rsidRDefault="00363656" w:rsidP="00363656">
      <w:pPr>
        <w:numPr>
          <w:ilvl w:val="1"/>
          <w:numId w:val="18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Volkmann's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Canals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Horizontal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channels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connect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adjacent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Haversian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canals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allowing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blood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vessels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nerves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penetrate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>.</w:t>
      </w:r>
    </w:p>
    <w:p w14:paraId="5EB18082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C. </w:t>
      </w:r>
      <w:proofErr w:type="spellStart"/>
      <w:r w:rsidRPr="00363656">
        <w:rPr>
          <w:rFonts w:ascii="Calibri" w:hAnsi="Calibri" w:cs="Calibri"/>
        </w:rPr>
        <w:t>Histological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</w:p>
    <w:p w14:paraId="5A9BD5BE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lastRenderedPageBreak/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also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known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cancellous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has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porous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lattice-like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composed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trabeculae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Unlike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compact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does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not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have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osteons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Instead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trabeculae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arranged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along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lines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stress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help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resist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mechanical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forces</w:t>
      </w:r>
      <w:proofErr w:type="spellEnd"/>
      <w:r w:rsidRPr="00363656">
        <w:rPr>
          <w:rFonts w:ascii="Calibri" w:hAnsi="Calibri" w:cs="Calibri"/>
        </w:rPr>
        <w:t>.</w:t>
      </w:r>
    </w:p>
    <w:p w14:paraId="2763B4B0" w14:textId="77777777" w:rsidR="00363656" w:rsidRPr="00363656" w:rsidRDefault="00363656" w:rsidP="00363656">
      <w:pPr>
        <w:numPr>
          <w:ilvl w:val="0"/>
          <w:numId w:val="19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Structure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Trabeculae</w:t>
      </w:r>
      <w:proofErr w:type="spellEnd"/>
      <w:r w:rsidRPr="00363656">
        <w:rPr>
          <w:rFonts w:ascii="Calibri" w:hAnsi="Calibri" w:cs="Calibri"/>
        </w:rPr>
        <w:t>:</w:t>
      </w:r>
    </w:p>
    <w:p w14:paraId="37179589" w14:textId="77777777" w:rsidR="00363656" w:rsidRPr="00363656" w:rsidRDefault="00363656" w:rsidP="00363656">
      <w:pPr>
        <w:numPr>
          <w:ilvl w:val="1"/>
          <w:numId w:val="19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Trabeculae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made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up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layers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lamellae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but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thinner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more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irregular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those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found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compact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>.</w:t>
      </w:r>
    </w:p>
    <w:p w14:paraId="1ED07B31" w14:textId="77777777" w:rsidR="00363656" w:rsidRPr="00363656" w:rsidRDefault="00363656" w:rsidP="00363656">
      <w:pPr>
        <w:numPr>
          <w:ilvl w:val="1"/>
          <w:numId w:val="19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Within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trabeculae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osteocytes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found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lacunae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communicate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via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canaliculi</w:t>
      </w:r>
      <w:proofErr w:type="spellEnd"/>
      <w:r w:rsidRPr="00363656">
        <w:rPr>
          <w:rFonts w:ascii="Calibri" w:hAnsi="Calibri" w:cs="Calibri"/>
        </w:rPr>
        <w:t>.</w:t>
      </w:r>
    </w:p>
    <w:p w14:paraId="3F12D926" w14:textId="77777777" w:rsidR="00363656" w:rsidRPr="00363656" w:rsidRDefault="00363656" w:rsidP="00363656">
      <w:pPr>
        <w:numPr>
          <w:ilvl w:val="1"/>
          <w:numId w:val="19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Spaces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between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trabeculae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filled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with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marrow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where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hematopoiesis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occurs</w:t>
      </w:r>
      <w:proofErr w:type="spellEnd"/>
      <w:r w:rsidRPr="00363656">
        <w:rPr>
          <w:rFonts w:ascii="Calibri" w:hAnsi="Calibri" w:cs="Calibri"/>
        </w:rPr>
        <w:t>.</w:t>
      </w:r>
    </w:p>
    <w:p w14:paraId="5121522F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found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predominantly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epiphyses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long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interior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other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such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vertebrae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pelvis</w:t>
      </w:r>
      <w:proofErr w:type="spellEnd"/>
      <w:r w:rsidRPr="00363656">
        <w:rPr>
          <w:rFonts w:ascii="Calibri" w:hAnsi="Calibri" w:cs="Calibri"/>
        </w:rPr>
        <w:t>.</w:t>
      </w:r>
    </w:p>
    <w:p w14:paraId="065AA494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pict w14:anchorId="46309068">
          <v:rect id="_x0000_i1155" style="width:0;height:1.5pt" o:hralign="center" o:hrstd="t" o:hr="t" fillcolor="#a0a0a0" stroked="f"/>
        </w:pict>
      </w:r>
    </w:p>
    <w:p w14:paraId="5E686A86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4.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Remodeling</w:t>
      </w:r>
      <w:proofErr w:type="spellEnd"/>
    </w:p>
    <w:p w14:paraId="66CB8FB0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dynamic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undergoes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continuous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remodeling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throughout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life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This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process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involves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coordinated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activity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osteoclasts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resorption</w:t>
      </w:r>
      <w:proofErr w:type="spellEnd"/>
      <w:r w:rsidRPr="00363656">
        <w:rPr>
          <w:rFonts w:ascii="Calibri" w:hAnsi="Calibri" w:cs="Calibri"/>
        </w:rPr>
        <w:t xml:space="preserve">)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 xml:space="preserve">).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remodeling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essential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maintaining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strength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repairing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microdamage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regulating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calcium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phosphate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levels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body</w:t>
      </w:r>
      <w:proofErr w:type="spellEnd"/>
      <w:r w:rsidRPr="00363656">
        <w:rPr>
          <w:rFonts w:ascii="Calibri" w:hAnsi="Calibri" w:cs="Calibri"/>
        </w:rPr>
        <w:t>.</w:t>
      </w:r>
    </w:p>
    <w:p w14:paraId="2A543A31" w14:textId="77777777" w:rsidR="00363656" w:rsidRPr="00363656" w:rsidRDefault="00363656" w:rsidP="00363656">
      <w:pPr>
        <w:numPr>
          <w:ilvl w:val="0"/>
          <w:numId w:val="20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resorption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Osteoclasts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break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down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old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damaged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releasing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minerals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like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calcium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bloodstream</w:t>
      </w:r>
      <w:proofErr w:type="spellEnd"/>
      <w:r w:rsidRPr="00363656">
        <w:rPr>
          <w:rFonts w:ascii="Calibri" w:hAnsi="Calibri" w:cs="Calibri"/>
        </w:rPr>
        <w:t>.</w:t>
      </w:r>
    </w:p>
    <w:p w14:paraId="7C4928D0" w14:textId="77777777" w:rsidR="00363656" w:rsidRPr="00363656" w:rsidRDefault="00363656" w:rsidP="00363656">
      <w:pPr>
        <w:numPr>
          <w:ilvl w:val="0"/>
          <w:numId w:val="20"/>
        </w:num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 xml:space="preserve">: </w:t>
      </w:r>
      <w:proofErr w:type="spellStart"/>
      <w:r w:rsidRPr="00363656">
        <w:rPr>
          <w:rFonts w:ascii="Calibri" w:hAnsi="Calibri" w:cs="Calibri"/>
        </w:rPr>
        <w:t>Osteoblasts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down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new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matrix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which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later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becomes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mineralized</w:t>
      </w:r>
      <w:proofErr w:type="spellEnd"/>
      <w:r w:rsidRPr="00363656">
        <w:rPr>
          <w:rFonts w:ascii="Calibri" w:hAnsi="Calibri" w:cs="Calibri"/>
        </w:rPr>
        <w:t>.</w:t>
      </w:r>
    </w:p>
    <w:p w14:paraId="1DAFAA8D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t xml:space="preserve">The </w:t>
      </w:r>
      <w:proofErr w:type="spellStart"/>
      <w:r w:rsidRPr="00363656">
        <w:rPr>
          <w:rFonts w:ascii="Calibri" w:hAnsi="Calibri" w:cs="Calibri"/>
        </w:rPr>
        <w:t>balance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between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resorption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influenced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several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factors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including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hormones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e.g</w:t>
      </w:r>
      <w:proofErr w:type="spellEnd"/>
      <w:r w:rsidRPr="00363656">
        <w:rPr>
          <w:rFonts w:ascii="Calibri" w:hAnsi="Calibri" w:cs="Calibri"/>
        </w:rPr>
        <w:t xml:space="preserve">., </w:t>
      </w:r>
      <w:proofErr w:type="spellStart"/>
      <w:r w:rsidRPr="00363656">
        <w:rPr>
          <w:rFonts w:ascii="Calibri" w:hAnsi="Calibri" w:cs="Calibri"/>
        </w:rPr>
        <w:t>parathyroid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hormone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calcitonin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estrogen</w:t>
      </w:r>
      <w:proofErr w:type="spellEnd"/>
      <w:r w:rsidRPr="00363656">
        <w:rPr>
          <w:rFonts w:ascii="Calibri" w:hAnsi="Calibri" w:cs="Calibri"/>
        </w:rPr>
        <w:t xml:space="preserve">), </w:t>
      </w:r>
      <w:proofErr w:type="spellStart"/>
      <w:r w:rsidRPr="00363656">
        <w:rPr>
          <w:rFonts w:ascii="Calibri" w:hAnsi="Calibri" w:cs="Calibri"/>
        </w:rPr>
        <w:t>mechanical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stress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nutritional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status</w:t>
      </w:r>
      <w:proofErr w:type="spellEnd"/>
      <w:r w:rsidRPr="00363656">
        <w:rPr>
          <w:rFonts w:ascii="Calibri" w:hAnsi="Calibri" w:cs="Calibri"/>
        </w:rPr>
        <w:t xml:space="preserve"> (</w:t>
      </w:r>
      <w:proofErr w:type="spellStart"/>
      <w:r w:rsidRPr="00363656">
        <w:rPr>
          <w:rFonts w:ascii="Calibri" w:hAnsi="Calibri" w:cs="Calibri"/>
        </w:rPr>
        <w:t>e.g</w:t>
      </w:r>
      <w:proofErr w:type="spellEnd"/>
      <w:r w:rsidRPr="00363656">
        <w:rPr>
          <w:rFonts w:ascii="Calibri" w:hAnsi="Calibri" w:cs="Calibri"/>
        </w:rPr>
        <w:t xml:space="preserve">., </w:t>
      </w:r>
      <w:proofErr w:type="spellStart"/>
      <w:r w:rsidRPr="00363656">
        <w:rPr>
          <w:rFonts w:ascii="Calibri" w:hAnsi="Calibri" w:cs="Calibri"/>
        </w:rPr>
        <w:t>calcium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vitamin</w:t>
      </w:r>
      <w:proofErr w:type="spellEnd"/>
      <w:r w:rsidRPr="00363656">
        <w:rPr>
          <w:rFonts w:ascii="Calibri" w:hAnsi="Calibri" w:cs="Calibri"/>
        </w:rPr>
        <w:t xml:space="preserve"> D </w:t>
      </w:r>
      <w:proofErr w:type="spellStart"/>
      <w:r w:rsidRPr="00363656">
        <w:rPr>
          <w:rFonts w:ascii="Calibri" w:hAnsi="Calibri" w:cs="Calibri"/>
        </w:rPr>
        <w:t>levels</w:t>
      </w:r>
      <w:proofErr w:type="spellEnd"/>
      <w:r w:rsidRPr="00363656">
        <w:rPr>
          <w:rFonts w:ascii="Calibri" w:hAnsi="Calibri" w:cs="Calibri"/>
        </w:rPr>
        <w:t>).</w:t>
      </w:r>
    </w:p>
    <w:p w14:paraId="772EA7C7" w14:textId="77777777" w:rsidR="00363656" w:rsidRPr="00363656" w:rsidRDefault="00363656" w:rsidP="00363656">
      <w:pPr>
        <w:rPr>
          <w:rFonts w:ascii="Calibri" w:hAnsi="Calibri" w:cs="Calibri"/>
        </w:rPr>
      </w:pPr>
      <w:r w:rsidRPr="00363656">
        <w:rPr>
          <w:rFonts w:ascii="Calibri" w:hAnsi="Calibri" w:cs="Calibri"/>
        </w:rPr>
        <w:pict w14:anchorId="5020BB46">
          <v:rect id="_x0000_i1156" style="width:0;height:1.5pt" o:hralign="center" o:hrstd="t" o:hr="t" fillcolor="#a0a0a0" stroked="f"/>
        </w:pict>
      </w:r>
    </w:p>
    <w:p w14:paraId="53E78536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Conclusion</w:t>
      </w:r>
      <w:proofErr w:type="spellEnd"/>
    </w:p>
    <w:p w14:paraId="73EE55A3" w14:textId="77777777" w:rsidR="00363656" w:rsidRPr="00363656" w:rsidRDefault="00363656" w:rsidP="00363656">
      <w:pPr>
        <w:rPr>
          <w:rFonts w:ascii="Calibri" w:hAnsi="Calibri" w:cs="Calibri"/>
        </w:rPr>
      </w:pP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highly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specialized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connective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that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provides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support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protects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vital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organs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plays</w:t>
      </w:r>
      <w:proofErr w:type="spellEnd"/>
      <w:r w:rsidRPr="00363656">
        <w:rPr>
          <w:rFonts w:ascii="Calibri" w:hAnsi="Calibri" w:cs="Calibri"/>
        </w:rPr>
        <w:t xml:space="preserve"> a </w:t>
      </w:r>
      <w:proofErr w:type="spellStart"/>
      <w:r w:rsidRPr="00363656">
        <w:rPr>
          <w:rFonts w:ascii="Calibri" w:hAnsi="Calibri" w:cs="Calibri"/>
        </w:rPr>
        <w:t>key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role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mineral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storage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blood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cell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formation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Osteohistogenesis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involves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two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distinct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processes</w:t>
      </w:r>
      <w:proofErr w:type="spellEnd"/>
      <w:r w:rsidRPr="00363656">
        <w:rPr>
          <w:rFonts w:ascii="Calibri" w:hAnsi="Calibri" w:cs="Calibri"/>
        </w:rPr>
        <w:t>—</w:t>
      </w:r>
      <w:proofErr w:type="spellStart"/>
      <w:r w:rsidRPr="00363656">
        <w:rPr>
          <w:rFonts w:ascii="Calibri" w:hAnsi="Calibri" w:cs="Calibri"/>
        </w:rPr>
        <w:t>intramembranous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ossification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endochondral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ossification</w:t>
      </w:r>
      <w:proofErr w:type="spellEnd"/>
      <w:r w:rsidRPr="00363656">
        <w:rPr>
          <w:rFonts w:ascii="Calibri" w:hAnsi="Calibri" w:cs="Calibri"/>
        </w:rPr>
        <w:t>—</w:t>
      </w:r>
      <w:proofErr w:type="spellStart"/>
      <w:r w:rsidRPr="00363656">
        <w:rPr>
          <w:rFonts w:ascii="Calibri" w:hAnsi="Calibri" w:cs="Calibri"/>
        </w:rPr>
        <w:t>each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essential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development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growth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. The </w:t>
      </w:r>
      <w:proofErr w:type="spellStart"/>
      <w:r w:rsidRPr="00363656">
        <w:rPr>
          <w:rFonts w:ascii="Calibri" w:hAnsi="Calibri" w:cs="Calibri"/>
        </w:rPr>
        <w:t>histological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structure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tubular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bones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with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organized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arrangement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compact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spongy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allows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strength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flexibility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efficient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metabolic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functions</w:t>
      </w:r>
      <w:proofErr w:type="spellEnd"/>
      <w:r w:rsidRPr="00363656">
        <w:rPr>
          <w:rFonts w:ascii="Calibri" w:hAnsi="Calibri" w:cs="Calibri"/>
        </w:rPr>
        <w:t xml:space="preserve">. </w:t>
      </w:r>
      <w:proofErr w:type="spellStart"/>
      <w:r w:rsidRPr="00363656">
        <w:rPr>
          <w:rFonts w:ascii="Calibri" w:hAnsi="Calibri" w:cs="Calibri"/>
        </w:rPr>
        <w:t>Understanding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the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composition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function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of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bone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tissue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crucial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for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insights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into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skeletal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development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growth</w:t>
      </w:r>
      <w:proofErr w:type="spellEnd"/>
      <w:r w:rsidRPr="00363656">
        <w:rPr>
          <w:rFonts w:ascii="Calibri" w:hAnsi="Calibri" w:cs="Calibri"/>
        </w:rPr>
        <w:t xml:space="preserve">, </w:t>
      </w:r>
      <w:proofErr w:type="spellStart"/>
      <w:r w:rsidRPr="00363656">
        <w:rPr>
          <w:rFonts w:ascii="Calibri" w:hAnsi="Calibri" w:cs="Calibri"/>
        </w:rPr>
        <w:t>and</w:t>
      </w:r>
      <w:proofErr w:type="spellEnd"/>
      <w:r w:rsidRPr="00363656">
        <w:rPr>
          <w:rFonts w:ascii="Calibri" w:hAnsi="Calibri" w:cs="Calibri"/>
        </w:rPr>
        <w:t xml:space="preserve"> </w:t>
      </w:r>
      <w:proofErr w:type="spellStart"/>
      <w:r w:rsidRPr="00363656">
        <w:rPr>
          <w:rFonts w:ascii="Calibri" w:hAnsi="Calibri" w:cs="Calibri"/>
        </w:rPr>
        <w:t>repair</w:t>
      </w:r>
      <w:proofErr w:type="spellEnd"/>
      <w:r w:rsidRPr="00363656">
        <w:rPr>
          <w:rFonts w:ascii="Calibri" w:hAnsi="Calibri" w:cs="Calibri"/>
        </w:rPr>
        <w:t>.</w:t>
      </w:r>
    </w:p>
    <w:p w14:paraId="2FFB19BA" w14:textId="77777777" w:rsidR="00363656" w:rsidRPr="00363656" w:rsidRDefault="00363656">
      <w:pPr>
        <w:rPr>
          <w:rFonts w:ascii="Calibri" w:hAnsi="Calibri" w:cs="Calibri"/>
          <w:b/>
          <w:bCs/>
        </w:rPr>
      </w:pPr>
    </w:p>
    <w:sectPr w:rsidR="00363656" w:rsidRPr="0036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C36"/>
    <w:multiLevelType w:val="multilevel"/>
    <w:tmpl w:val="D324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E6615"/>
    <w:multiLevelType w:val="multilevel"/>
    <w:tmpl w:val="FC7C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C2E27"/>
    <w:multiLevelType w:val="multilevel"/>
    <w:tmpl w:val="B788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A4360"/>
    <w:multiLevelType w:val="multilevel"/>
    <w:tmpl w:val="E756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E5E99"/>
    <w:multiLevelType w:val="multilevel"/>
    <w:tmpl w:val="C76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A5D95"/>
    <w:multiLevelType w:val="multilevel"/>
    <w:tmpl w:val="DC1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1367D"/>
    <w:multiLevelType w:val="multilevel"/>
    <w:tmpl w:val="45CE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D2E42"/>
    <w:multiLevelType w:val="multilevel"/>
    <w:tmpl w:val="CA74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064AE"/>
    <w:multiLevelType w:val="multilevel"/>
    <w:tmpl w:val="7626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D703A"/>
    <w:multiLevelType w:val="multilevel"/>
    <w:tmpl w:val="8694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F1D92"/>
    <w:multiLevelType w:val="multilevel"/>
    <w:tmpl w:val="62DE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027F3"/>
    <w:multiLevelType w:val="multilevel"/>
    <w:tmpl w:val="7ED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1681A"/>
    <w:multiLevelType w:val="multilevel"/>
    <w:tmpl w:val="F398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304E6E"/>
    <w:multiLevelType w:val="multilevel"/>
    <w:tmpl w:val="20AC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351F4"/>
    <w:multiLevelType w:val="multilevel"/>
    <w:tmpl w:val="90D8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B4D78"/>
    <w:multiLevelType w:val="multilevel"/>
    <w:tmpl w:val="6BF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54654"/>
    <w:multiLevelType w:val="multilevel"/>
    <w:tmpl w:val="8F6C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B6753"/>
    <w:multiLevelType w:val="multilevel"/>
    <w:tmpl w:val="714E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2D36C3"/>
    <w:multiLevelType w:val="multilevel"/>
    <w:tmpl w:val="154C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62D50"/>
    <w:multiLevelType w:val="multilevel"/>
    <w:tmpl w:val="25B4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360301">
    <w:abstractNumId w:val="7"/>
  </w:num>
  <w:num w:numId="2" w16cid:durableId="207884834">
    <w:abstractNumId w:val="4"/>
  </w:num>
  <w:num w:numId="3" w16cid:durableId="1964841466">
    <w:abstractNumId w:val="11"/>
  </w:num>
  <w:num w:numId="4" w16cid:durableId="1926109271">
    <w:abstractNumId w:val="8"/>
  </w:num>
  <w:num w:numId="5" w16cid:durableId="1819833240">
    <w:abstractNumId w:val="5"/>
  </w:num>
  <w:num w:numId="6" w16cid:durableId="1034428429">
    <w:abstractNumId w:val="16"/>
  </w:num>
  <w:num w:numId="7" w16cid:durableId="277684794">
    <w:abstractNumId w:val="12"/>
  </w:num>
  <w:num w:numId="8" w16cid:durableId="2130278253">
    <w:abstractNumId w:val="9"/>
  </w:num>
  <w:num w:numId="9" w16cid:durableId="1421370167">
    <w:abstractNumId w:val="18"/>
  </w:num>
  <w:num w:numId="10" w16cid:durableId="619455184">
    <w:abstractNumId w:val="3"/>
  </w:num>
  <w:num w:numId="11" w16cid:durableId="1221402194">
    <w:abstractNumId w:val="10"/>
  </w:num>
  <w:num w:numId="12" w16cid:durableId="1805544269">
    <w:abstractNumId w:val="15"/>
  </w:num>
  <w:num w:numId="13" w16cid:durableId="14575698">
    <w:abstractNumId w:val="6"/>
  </w:num>
  <w:num w:numId="14" w16cid:durableId="1427651506">
    <w:abstractNumId w:val="17"/>
  </w:num>
  <w:num w:numId="15" w16cid:durableId="1166818243">
    <w:abstractNumId w:val="13"/>
  </w:num>
  <w:num w:numId="16" w16cid:durableId="2119906874">
    <w:abstractNumId w:val="14"/>
  </w:num>
  <w:num w:numId="17" w16cid:durableId="1753703340">
    <w:abstractNumId w:val="0"/>
  </w:num>
  <w:num w:numId="18" w16cid:durableId="954823897">
    <w:abstractNumId w:val="1"/>
  </w:num>
  <w:num w:numId="19" w16cid:durableId="1797797360">
    <w:abstractNumId w:val="2"/>
  </w:num>
  <w:num w:numId="20" w16cid:durableId="14881289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2E"/>
    <w:rsid w:val="000F1A2E"/>
    <w:rsid w:val="00363656"/>
    <w:rsid w:val="009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28AA"/>
  <w15:chartTrackingRefBased/>
  <w15:docId w15:val="{B0939A6C-7216-4AB4-BAFA-246A5E60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1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1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1A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1A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1A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1A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1A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1A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1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1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1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1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1A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1A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1A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1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1A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1A2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6365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6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2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6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1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4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98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2024-09-28T08:46:00Z</dcterms:created>
  <dcterms:modified xsi:type="dcterms:W3CDTF">2024-09-28T08:48:00Z</dcterms:modified>
</cp:coreProperties>
</file>